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E15B97">
      <w:pPr>
        <w:pStyle w:val="ConsPlusNonformat"/>
        <w:ind w:right="-42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AE774A" w:rsidP="00E15B97">
      <w:pPr>
        <w:spacing w:line="240" w:lineRule="auto"/>
        <w:ind w:right="-425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 №31/24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E15B97">
      <w:pPr>
        <w:spacing w:line="240" w:lineRule="auto"/>
        <w:ind w:left="-280" w:right="-425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910902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910902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910902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ЭТАП </w:t>
      </w:r>
      <w:r w:rsidR="00612579">
        <w:rPr>
          <w:rFonts w:ascii="Times New Roman" w:eastAsia="Times New Roman" w:hAnsi="Times New Roman" w:cs="Times New Roman"/>
          <w:b/>
          <w:sz w:val="32"/>
          <w:szCs w:val="32"/>
        </w:rPr>
        <w:t>4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Развитие Системы </w:t>
      </w:r>
      <w:r w:rsidR="00612579">
        <w:rPr>
          <w:rFonts w:ascii="Times New Roman" w:eastAsia="Times New Roman" w:hAnsi="Times New Roman" w:cs="Times New Roman"/>
          <w:b/>
          <w:sz w:val="32"/>
          <w:szCs w:val="32"/>
        </w:rPr>
        <w:t>по дополнительным заданиям Заказчика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5B97" w:rsidRPr="00AD2938" w:rsidRDefault="00E15B97" w:rsidP="00E15B9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требований на изменение Системы </w:t>
      </w:r>
      <w:r w:rsidRPr="00AD2938">
        <w:rPr>
          <w:rFonts w:ascii="Times New Roman" w:eastAsia="Times New Roman" w:hAnsi="Times New Roman" w:cs="Times New Roman"/>
          <w:sz w:val="28"/>
          <w:szCs w:val="28"/>
        </w:rPr>
        <w:t>№ МИС-Р-</w:t>
      </w:r>
      <w:r w:rsidR="00AD2938" w:rsidRPr="00AD2938">
        <w:rPr>
          <w:rFonts w:ascii="Times New Roman" w:eastAsia="Times New Roman" w:hAnsi="Times New Roman" w:cs="Times New Roman"/>
          <w:sz w:val="28"/>
          <w:szCs w:val="28"/>
        </w:rPr>
        <w:t>14</w:t>
      </w:r>
      <w:r w:rsidR="00BA43A3">
        <w:rPr>
          <w:rFonts w:ascii="Times New Roman" w:eastAsia="Times New Roman" w:hAnsi="Times New Roman" w:cs="Times New Roman"/>
          <w:sz w:val="28"/>
          <w:szCs w:val="28"/>
        </w:rPr>
        <w:t>38</w:t>
      </w:r>
    </w:p>
    <w:p w:rsidR="00E15B97" w:rsidRDefault="00E15B97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3A3" w:rsidRPr="00BC301B" w:rsidRDefault="00612579" w:rsidP="00BC301B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</w:t>
      </w:r>
      <w:r w:rsidR="00BA4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01B" w:rsidRPr="002B6688">
        <w:rPr>
          <w:rFonts w:ascii="Times New Roman" w:eastAsia="Times New Roman" w:hAnsi="Times New Roman" w:cs="Times New Roman"/>
          <w:sz w:val="28"/>
          <w:szCs w:val="28"/>
        </w:rPr>
        <w:t>СЭМД (74) Протокол прижизненного патологоанатомического исследования (CDA) Редакция 2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A43A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2A55EF" w:rsidRPr="00B836C0" w:rsidRDefault="002A55EF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C301B" w:rsidRDefault="00BC301B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B2CA3" w:rsidRPr="00B836C0" w:rsidRDefault="00AB2CA3" w:rsidP="00930A41">
      <w:pPr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E15B9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15B97">
              <w:rPr>
                <w:rFonts w:ascii="Times New Roman" w:hAnsi="Times New Roman" w:cs="Times New Roman"/>
                <w:sz w:val="16"/>
                <w:szCs w:val="16"/>
              </w:rPr>
              <w:t>Развитие Системы по дополнительным заданиям Заказчика</w:t>
            </w:r>
          </w:p>
        </w:tc>
      </w:tr>
    </w:tbl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1"/>
    </w:p>
    <w:p w:rsidR="00971EE1" w:rsidRDefault="00971EE1" w:rsidP="00930A41">
      <w:pPr>
        <w:pStyle w:val="af8"/>
        <w:tabs>
          <w:tab w:val="left" w:pos="284"/>
        </w:tabs>
        <w:spacing w:before="0" w:after="0"/>
        <w:rPr>
          <w:sz w:val="24"/>
        </w:rPr>
      </w:pPr>
      <w:bookmarkStart w:id="2" w:name="_p9we76vt0l7w" w:colFirst="0" w:colLast="0"/>
      <w:bookmarkStart w:id="3" w:name="_3zck877cjeog" w:colFirst="0" w:colLast="0"/>
      <w:bookmarkStart w:id="4" w:name="_Toc98836831"/>
      <w:bookmarkEnd w:id="2"/>
      <w:bookmarkEnd w:id="3"/>
      <w:r>
        <w:rPr>
          <w:sz w:val="24"/>
        </w:rPr>
        <w:t xml:space="preserve">Данная инструкция разработана для Информационной системы управления ресурсами медицинских организаций Тюменской </w:t>
      </w:r>
      <w:r w:rsidRPr="00AD2938">
        <w:rPr>
          <w:sz w:val="24"/>
        </w:rPr>
        <w:t>области, в части задания на доработку системы № МИС-Р-</w:t>
      </w:r>
      <w:r w:rsidR="00AD2938" w:rsidRPr="00AD2938">
        <w:rPr>
          <w:sz w:val="24"/>
        </w:rPr>
        <w:t>14</w:t>
      </w:r>
      <w:r w:rsidR="00BA43A3">
        <w:rPr>
          <w:sz w:val="24"/>
        </w:rPr>
        <w:t>38</w:t>
      </w:r>
      <w:r w:rsidRPr="00AD2938">
        <w:rPr>
          <w:sz w:val="24"/>
        </w:rPr>
        <w:t xml:space="preserve">, </w:t>
      </w:r>
      <w:r w:rsidRPr="00BA43A3">
        <w:rPr>
          <w:sz w:val="24"/>
        </w:rPr>
        <w:t>Наименование:</w:t>
      </w:r>
      <w:r w:rsidR="00930A41">
        <w:rPr>
          <w:sz w:val="24"/>
        </w:rPr>
        <w:t xml:space="preserve"> </w:t>
      </w:r>
      <w:r w:rsidR="00BA43A3" w:rsidRPr="00BA43A3">
        <w:rPr>
          <w:sz w:val="24"/>
        </w:rPr>
        <w:t>СЭМД (74) Протокол прижизненного патологоанатомического исследования (CDA) Редакция 2</w:t>
      </w:r>
      <w:r w:rsidR="00910902">
        <w:rPr>
          <w:sz w:val="24"/>
        </w:rPr>
        <w:t>.</w:t>
      </w:r>
    </w:p>
    <w:p w:rsidR="00971EE1" w:rsidRDefault="00971EE1" w:rsidP="00930A41">
      <w:pPr>
        <w:pStyle w:val="af8"/>
        <w:tabs>
          <w:tab w:val="left" w:pos="284"/>
        </w:tabs>
        <w:spacing w:before="0" w:after="0"/>
        <w:rPr>
          <w:sz w:val="24"/>
        </w:rPr>
      </w:pPr>
      <w:r w:rsidRPr="00AE774A">
        <w:rPr>
          <w:rFonts w:eastAsiaTheme="minorEastAsia"/>
          <w:sz w:val="24"/>
        </w:rPr>
        <w:t>Основанием для разработки данного документа является 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>
        <w:rPr>
          <w:rFonts w:eastAsiaTheme="minorEastAsia"/>
          <w:sz w:val="24"/>
        </w:rPr>
        <w:t xml:space="preserve">) </w:t>
      </w:r>
      <w:r w:rsidRPr="001677A5">
        <w:rPr>
          <w:sz w:val="24"/>
          <w:highlight w:val="white"/>
        </w:rPr>
        <w:t xml:space="preserve">Этап № </w:t>
      </w:r>
      <w:r>
        <w:rPr>
          <w:sz w:val="24"/>
          <w:highlight w:val="white"/>
        </w:rPr>
        <w:t>4</w:t>
      </w:r>
      <w:r w:rsidRPr="001677A5">
        <w:rPr>
          <w:sz w:val="24"/>
          <w:highlight w:val="white"/>
        </w:rPr>
        <w:t>. Развитие Системы</w:t>
      </w:r>
      <w:r>
        <w:rPr>
          <w:sz w:val="24"/>
          <w:highlight w:val="white"/>
        </w:rPr>
        <w:t xml:space="preserve"> по дополнительным заданиям Заказчика. </w:t>
      </w:r>
      <w:bookmarkStart w:id="5" w:name="_Toc98836830"/>
    </w:p>
    <w:bookmarkEnd w:id="5"/>
    <w:p w:rsidR="00B836C0" w:rsidRDefault="00971EE1" w:rsidP="00910902">
      <w:pPr>
        <w:pStyle w:val="af8"/>
        <w:tabs>
          <w:tab w:val="left" w:pos="284"/>
        </w:tabs>
        <w:spacing w:before="0" w:after="0"/>
        <w:ind w:firstLine="0"/>
        <w:rPr>
          <w:b/>
          <w:szCs w:val="28"/>
        </w:rPr>
      </w:pPr>
      <w:r>
        <w:rPr>
          <w:b/>
          <w:szCs w:val="28"/>
        </w:rPr>
        <w:t>2</w:t>
      </w:r>
      <w:r w:rsidR="00B836C0" w:rsidRPr="00EA465F">
        <w:rPr>
          <w:b/>
          <w:szCs w:val="28"/>
        </w:rPr>
        <w:t xml:space="preserve"> Пользовательская инструкция</w:t>
      </w:r>
      <w:bookmarkEnd w:id="4"/>
    </w:p>
    <w:p w:rsidR="00BA43A3" w:rsidRDefault="00BA43A3" w:rsidP="009109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медицинского документа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62534">
        <w:rPr>
          <w:rFonts w:ascii="Times New Roman" w:hAnsi="Times New Roman" w:cs="Times New Roman"/>
          <w:sz w:val="24"/>
          <w:szCs w:val="24"/>
        </w:rPr>
        <w:t>Протокол прижизненного патологоанатомического исследования биопсийного (операционного) материала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работе пользователей изменений не несет. Функционал остается прежним.</w:t>
      </w:r>
    </w:p>
    <w:p w:rsidR="00BA43A3" w:rsidRDefault="00BA43A3" w:rsidP="009109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формирования медицинского документа «</w:t>
      </w:r>
      <w:r w:rsidRPr="00A62534">
        <w:rPr>
          <w:rFonts w:ascii="Times New Roman" w:hAnsi="Times New Roman" w:cs="Times New Roman"/>
          <w:sz w:val="24"/>
          <w:szCs w:val="24"/>
        </w:rPr>
        <w:t>Протокол прижизненного патологоанатомического исследования биопсийного (операционного) материала</w:t>
      </w:r>
      <w:r>
        <w:rPr>
          <w:rFonts w:ascii="Times New Roman" w:hAnsi="Times New Roman" w:cs="Times New Roman"/>
          <w:sz w:val="24"/>
          <w:szCs w:val="24"/>
        </w:rPr>
        <w:t>», необходимо войти в периферийную БД с правами врача (врача, проводящего исследования): подсистема «Контроль исполнения» - «Сменное задание».</w:t>
      </w:r>
    </w:p>
    <w:p w:rsidR="00BA43A3" w:rsidRDefault="00BA43A3" w:rsidP="009109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отобразится список назначений. Выбрать нужный заказ, по кнопке «Формирование медицинского документа (</w:t>
      </w:r>
      <w:r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CD1A6A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D1A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» вызвать форму выбора ШМД и выбрать </w:t>
      </w:r>
      <w:r w:rsidRPr="002729E5">
        <w:rPr>
          <w:rFonts w:ascii="Times New Roman" w:hAnsi="Times New Roman" w:cs="Times New Roman"/>
          <w:sz w:val="24"/>
          <w:szCs w:val="24"/>
        </w:rPr>
        <w:t>«</w:t>
      </w:r>
      <w:r w:rsidR="00930A41">
        <w:rPr>
          <w:rFonts w:ascii="Times New Roman" w:hAnsi="Times New Roman" w:cs="Times New Roman"/>
          <w:sz w:val="24"/>
          <w:szCs w:val="24"/>
        </w:rPr>
        <w:t>Протокол прижизненного патолого</w:t>
      </w:r>
      <w:r w:rsidRPr="002729E5">
        <w:rPr>
          <w:rFonts w:ascii="Times New Roman" w:hAnsi="Times New Roman" w:cs="Times New Roman"/>
          <w:sz w:val="24"/>
          <w:szCs w:val="24"/>
        </w:rPr>
        <w:t>анатомического исследования биопсийного (операционного) материала»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3A3" w:rsidRDefault="00BA43A3" w:rsidP="009109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открывшейся форме ШМД (рис. 1) последовательно заполнить разделы: Данные документа, Биоматериал, Результаты исследования, Рекомендации, Услуги, </w:t>
      </w:r>
      <w:r w:rsidRPr="00413519">
        <w:rPr>
          <w:rFonts w:ascii="Times New Roman" w:hAnsi="Times New Roman" w:cs="Times New Roman"/>
          <w:sz w:val="24"/>
          <w:szCs w:val="24"/>
        </w:rPr>
        <w:t>Исполнители. Раздел «Пациент» заполн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13519">
        <w:rPr>
          <w:rFonts w:ascii="Times New Roman" w:hAnsi="Times New Roman" w:cs="Times New Roman"/>
          <w:sz w:val="24"/>
          <w:szCs w:val="24"/>
        </w:rPr>
        <w:t>тся автоматически, путем подтягивания данных из ОДП.</w:t>
      </w:r>
    </w:p>
    <w:p w:rsidR="00BA43A3" w:rsidRDefault="00BA43A3" w:rsidP="009109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01085" cy="1174295"/>
            <wp:effectExtent l="19050" t="19050" r="13915" b="258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8550" cy="117377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43A3" w:rsidRPr="00930A41" w:rsidRDefault="00910902" w:rsidP="00910902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Рис. 1 </w:t>
      </w:r>
      <w:r w:rsidR="00BA43A3" w:rsidRPr="002729E5">
        <w:rPr>
          <w:rFonts w:ascii="Times New Roman" w:hAnsi="Times New Roman" w:cs="Times New Roman"/>
          <w:i/>
          <w:sz w:val="20"/>
          <w:szCs w:val="20"/>
        </w:rPr>
        <w:t xml:space="preserve"> Форма ШМД «Протокол прижизне</w:t>
      </w:r>
      <w:r w:rsidR="00930A41">
        <w:rPr>
          <w:rFonts w:ascii="Times New Roman" w:hAnsi="Times New Roman" w:cs="Times New Roman"/>
          <w:i/>
          <w:sz w:val="20"/>
          <w:szCs w:val="20"/>
        </w:rPr>
        <w:t>нного патолого</w:t>
      </w:r>
      <w:r w:rsidR="00BA43A3" w:rsidRPr="002729E5">
        <w:rPr>
          <w:rFonts w:ascii="Times New Roman" w:hAnsi="Times New Roman" w:cs="Times New Roman"/>
          <w:i/>
          <w:sz w:val="20"/>
          <w:szCs w:val="20"/>
        </w:rPr>
        <w:t>анатомического исследования биопсийного (операционного) материала»</w:t>
      </w:r>
    </w:p>
    <w:p w:rsidR="00BA43A3" w:rsidRDefault="00BA43A3" w:rsidP="009109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рис. 2 красным подчеркнуты обязательные для заполнения поля раздела «Данные документа».</w:t>
      </w:r>
    </w:p>
    <w:p w:rsidR="00BA43A3" w:rsidRPr="00A62534" w:rsidRDefault="00BA43A3" w:rsidP="009109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468633" cy="3012603"/>
            <wp:effectExtent l="19050" t="19050" r="27167" b="1634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5660" cy="301059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43A3" w:rsidRPr="00930A41" w:rsidRDefault="00BA43A3" w:rsidP="00910902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2729E5">
        <w:rPr>
          <w:rFonts w:ascii="Times New Roman" w:hAnsi="Times New Roman" w:cs="Times New Roman"/>
          <w:i/>
          <w:sz w:val="20"/>
          <w:szCs w:val="20"/>
        </w:rPr>
        <w:t xml:space="preserve">Рис. </w:t>
      </w:r>
      <w:r>
        <w:rPr>
          <w:rFonts w:ascii="Times New Roman" w:hAnsi="Times New Roman" w:cs="Times New Roman"/>
          <w:i/>
          <w:sz w:val="20"/>
          <w:szCs w:val="20"/>
        </w:rPr>
        <w:t>2</w:t>
      </w:r>
      <w:r w:rsidR="009109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729E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Раздел «Данные документа»</w:t>
      </w:r>
    </w:p>
    <w:p w:rsidR="00BA43A3" w:rsidRDefault="00BA43A3" w:rsidP="009109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рис. 3 отображены обязательные для заполнения поля раздела «Биоматериал» во вкладке «Поступило». Заполнение полей «Способ получения» и «Характер патологического процесса» осуществляется путем выбора значений из соответствующих справочников.</w:t>
      </w:r>
    </w:p>
    <w:p w:rsidR="00BA43A3" w:rsidRDefault="00BA43A3" w:rsidP="009109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кнопке «Добавить» можно добавить строку для ввода данных по дополнительно исследованным пробам.</w:t>
      </w:r>
    </w:p>
    <w:p w:rsidR="00BA43A3" w:rsidRPr="00910902" w:rsidRDefault="00BA43A3" w:rsidP="009109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25160" cy="3105150"/>
            <wp:effectExtent l="19050" t="19050" r="2794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0209" cy="31024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43A3" w:rsidRDefault="00BA43A3" w:rsidP="00910902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29E5">
        <w:rPr>
          <w:rFonts w:ascii="Times New Roman" w:hAnsi="Times New Roman" w:cs="Times New Roman"/>
          <w:i/>
          <w:sz w:val="20"/>
          <w:szCs w:val="20"/>
        </w:rPr>
        <w:t xml:space="preserve">Рис. 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2729E5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Раздел «Биоматериал»</w:t>
      </w:r>
    </w:p>
    <w:p w:rsidR="00BA43A3" w:rsidRPr="00413519" w:rsidRDefault="00BA43A3" w:rsidP="009109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43A3" w:rsidRDefault="00BA43A3" w:rsidP="00910902">
      <w:pPr>
        <w:pStyle w:val="7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 w:cs="Times New Roman"/>
        </w:rPr>
      </w:pPr>
      <w:r w:rsidRPr="00AB38AA">
        <w:rPr>
          <w:rFonts w:ascii="Times New Roman" w:hAnsi="Times New Roman" w:cs="Times New Roman"/>
          <w:b/>
        </w:rPr>
        <w:lastRenderedPageBreak/>
        <w:t>ВАЖНО!!!</w:t>
      </w:r>
      <w:r>
        <w:rPr>
          <w:rFonts w:ascii="Times New Roman" w:hAnsi="Times New Roman" w:cs="Times New Roman"/>
        </w:rPr>
        <w:t xml:space="preserve"> Вкладка «Взято» также обязательна для заполнения (рис. 4). По кнопке «Добавить» открыть справочник «Виды окрасок» и выбрать нужное значение.</w:t>
      </w:r>
    </w:p>
    <w:p w:rsidR="00BA43A3" w:rsidRPr="00930A41" w:rsidRDefault="00BA43A3" w:rsidP="00910902">
      <w:pPr>
        <w:pStyle w:val="7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6152515" cy="3355975"/>
            <wp:effectExtent l="19050" t="19050" r="19685" b="158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559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43A3" w:rsidRDefault="00BA43A3" w:rsidP="00910902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29E5">
        <w:rPr>
          <w:rFonts w:ascii="Times New Roman" w:hAnsi="Times New Roman" w:cs="Times New Roman"/>
          <w:i/>
          <w:sz w:val="20"/>
          <w:szCs w:val="20"/>
        </w:rPr>
        <w:t xml:space="preserve">Рис. 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="0091090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Вкладка «Взято» раздела «Биоматериал»</w:t>
      </w:r>
    </w:p>
    <w:p w:rsidR="00BA43A3" w:rsidRDefault="00BA43A3" w:rsidP="00910902">
      <w:pPr>
        <w:pStyle w:val="7"/>
        <w:numPr>
          <w:ilvl w:val="0"/>
          <w:numId w:val="0"/>
        </w:numPr>
        <w:spacing w:before="0"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Pr="00930A41">
        <w:rPr>
          <w:rFonts w:ascii="Times New Roman" w:hAnsi="Times New Roman" w:cs="Times New Roman"/>
        </w:rPr>
        <w:t>каждого</w:t>
      </w:r>
      <w:r>
        <w:rPr>
          <w:rFonts w:ascii="Times New Roman" w:hAnsi="Times New Roman" w:cs="Times New Roman"/>
        </w:rPr>
        <w:t xml:space="preserve"> выбранного значения окраски обязательно </w:t>
      </w:r>
      <w:r w:rsidRPr="00930A41">
        <w:rPr>
          <w:rFonts w:ascii="Times New Roman" w:hAnsi="Times New Roman" w:cs="Times New Roman"/>
        </w:rPr>
        <w:t>заполнить</w:t>
      </w:r>
      <w:r>
        <w:rPr>
          <w:rFonts w:ascii="Times New Roman" w:hAnsi="Times New Roman" w:cs="Times New Roman"/>
        </w:rPr>
        <w:t xml:space="preserve"> данные гистологического блока (тип блока) по кнопке «Добавить» (рис. 5).</w:t>
      </w:r>
    </w:p>
    <w:p w:rsidR="00BA43A3" w:rsidRDefault="00BA43A3" w:rsidP="00910902">
      <w:pPr>
        <w:pStyle w:val="7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6152515" cy="1575435"/>
            <wp:effectExtent l="19050" t="19050" r="19685" b="2476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754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B598D" w:rsidRDefault="00BA43A3" w:rsidP="00CB598D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29E5">
        <w:rPr>
          <w:rFonts w:ascii="Times New Roman" w:hAnsi="Times New Roman" w:cs="Times New Roman"/>
          <w:i/>
          <w:sz w:val="20"/>
          <w:szCs w:val="20"/>
        </w:rPr>
        <w:t xml:space="preserve">Рис. </w:t>
      </w:r>
      <w:r>
        <w:rPr>
          <w:rFonts w:ascii="Times New Roman" w:hAnsi="Times New Roman" w:cs="Times New Roman"/>
          <w:i/>
          <w:sz w:val="20"/>
          <w:szCs w:val="20"/>
        </w:rPr>
        <w:t>5</w:t>
      </w:r>
      <w:r w:rsidR="0091090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Заполнение типа блока окраски</w:t>
      </w:r>
    </w:p>
    <w:p w:rsidR="00CB598D" w:rsidRPr="00CB598D" w:rsidRDefault="00BA43A3" w:rsidP="00CB598D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Обязательные для заполнения поля раздела «Результаты исследования» отображены на</w:t>
      </w:r>
      <w:r w:rsidR="00CB59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рис. 6.</w:t>
      </w:r>
    </w:p>
    <w:p w:rsidR="00BA43A3" w:rsidRDefault="00BA43A3" w:rsidP="00910902">
      <w:pPr>
        <w:pStyle w:val="7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5080885" cy="2085975"/>
            <wp:effectExtent l="19050" t="19050" r="2451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5641" cy="207971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43A3" w:rsidRDefault="00BA43A3" w:rsidP="00910902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29E5">
        <w:rPr>
          <w:rFonts w:ascii="Times New Roman" w:hAnsi="Times New Roman" w:cs="Times New Roman"/>
          <w:i/>
          <w:sz w:val="20"/>
          <w:szCs w:val="20"/>
        </w:rPr>
        <w:t xml:space="preserve">Рис. 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="0091090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Раздел «Результаты исследования»</w:t>
      </w:r>
    </w:p>
    <w:p w:rsidR="00BA43A3" w:rsidRDefault="00BA43A3" w:rsidP="00930A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«Рекомендации» также обязателен для заполнения и представляет собой просто поле для ручного ввода данных.</w:t>
      </w:r>
    </w:p>
    <w:p w:rsidR="00BA43A3" w:rsidRDefault="00BA43A3" w:rsidP="00930A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обязательных полей в разделе «Услуги» (рис. 7) осуществляется путем выбора значений оказанных услуг из справочника «Номенклатура медицинских услуг», установки даты и количества услуг. По кнопке «Добавить» можно добавить дополнительно оказанные услуги.</w:t>
      </w:r>
    </w:p>
    <w:p w:rsidR="00BA43A3" w:rsidRDefault="00BA43A3" w:rsidP="00BA43A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52515" cy="1026795"/>
            <wp:effectExtent l="19050" t="19050" r="19685" b="209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267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43A3" w:rsidRDefault="00BA43A3" w:rsidP="00910902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29E5">
        <w:rPr>
          <w:rFonts w:ascii="Times New Roman" w:hAnsi="Times New Roman" w:cs="Times New Roman"/>
          <w:i/>
          <w:sz w:val="20"/>
          <w:szCs w:val="20"/>
        </w:rPr>
        <w:t xml:space="preserve">Рис. </w:t>
      </w:r>
      <w:r>
        <w:rPr>
          <w:rFonts w:ascii="Times New Roman" w:hAnsi="Times New Roman" w:cs="Times New Roman"/>
          <w:i/>
          <w:sz w:val="20"/>
          <w:szCs w:val="20"/>
        </w:rPr>
        <w:t>7</w:t>
      </w:r>
      <w:r w:rsidRPr="002729E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Раздел «Услуги»</w:t>
      </w:r>
    </w:p>
    <w:p w:rsidR="00BA43A3" w:rsidRPr="00C50627" w:rsidRDefault="00BA43A3" w:rsidP="0091090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«Исполнители» (рис. 8) заполняется автоматически, путем подтягивания данных из настроенного в системе основного сотрудника пользователя. По кнопке «Добавить» можно добавить прочих исполнителей.</w:t>
      </w:r>
    </w:p>
    <w:p w:rsidR="00BA43A3" w:rsidRPr="00930A41" w:rsidRDefault="00BA43A3" w:rsidP="009109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152515" cy="544195"/>
            <wp:effectExtent l="19050" t="19050" r="19685" b="273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441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43A3" w:rsidRPr="00930A41" w:rsidRDefault="00BA43A3" w:rsidP="00910902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29E5">
        <w:rPr>
          <w:rFonts w:ascii="Times New Roman" w:hAnsi="Times New Roman" w:cs="Times New Roman"/>
          <w:i/>
          <w:sz w:val="20"/>
          <w:szCs w:val="20"/>
        </w:rPr>
        <w:t xml:space="preserve">Рис. 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2729E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Раздел «Исполнители»</w:t>
      </w:r>
    </w:p>
    <w:p w:rsidR="00BA43A3" w:rsidRDefault="00BA43A3" w:rsidP="00910902">
      <w:pPr>
        <w:pStyle w:val="af8"/>
        <w:tabs>
          <w:tab w:val="left" w:pos="284"/>
        </w:tabs>
        <w:spacing w:before="0" w:after="0"/>
        <w:rPr>
          <w:sz w:val="24"/>
        </w:rPr>
      </w:pPr>
      <w:r>
        <w:rPr>
          <w:sz w:val="24"/>
          <w:lang w:eastAsia="zh-CN" w:bidi="hi-IN"/>
        </w:rPr>
        <w:t>По окончании работы с ШМД, нажать «Документ готов» и подписать ЭЦП врача. После подписания ЭЦП МО, через массовое подписание, СЭМД автоматически отправится в РЭМД</w:t>
      </w:r>
      <w:r w:rsidR="00FF4C14">
        <w:rPr>
          <w:sz w:val="24"/>
          <w:lang w:eastAsia="zh-CN" w:bidi="hi-IN"/>
        </w:rPr>
        <w:t>.</w:t>
      </w:r>
    </w:p>
    <w:p w:rsidR="00BA43A3" w:rsidRDefault="00BA43A3" w:rsidP="00BA43A3">
      <w:pPr>
        <w:pStyle w:val="af8"/>
        <w:tabs>
          <w:tab w:val="left" w:pos="284"/>
        </w:tabs>
        <w:spacing w:before="0" w:after="0"/>
        <w:rPr>
          <w:sz w:val="24"/>
        </w:rPr>
      </w:pPr>
    </w:p>
    <w:p w:rsidR="00BA43A3" w:rsidRPr="00BA43A3" w:rsidRDefault="00BA43A3" w:rsidP="00BA43A3">
      <w:pPr>
        <w:pStyle w:val="af8"/>
        <w:tabs>
          <w:tab w:val="left" w:pos="284"/>
        </w:tabs>
        <w:spacing w:before="0" w:after="0"/>
        <w:rPr>
          <w:sz w:val="24"/>
        </w:rPr>
      </w:pPr>
    </w:p>
    <w:sectPr w:rsidR="00BA43A3" w:rsidRPr="00BA43A3" w:rsidSect="00EA465F">
      <w:footerReference w:type="default" r:id="rId16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902" w:rsidRDefault="00910902" w:rsidP="00923678">
      <w:pPr>
        <w:spacing w:line="240" w:lineRule="auto"/>
      </w:pPr>
      <w:r>
        <w:separator/>
      </w:r>
    </w:p>
  </w:endnote>
  <w:endnote w:type="continuationSeparator" w:id="0">
    <w:p w:rsidR="00910902" w:rsidRDefault="00910902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10902" w:rsidRPr="00923678" w:rsidRDefault="001464F1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10902"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30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10902" w:rsidRDefault="0091090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902" w:rsidRDefault="00910902" w:rsidP="00923678">
      <w:pPr>
        <w:spacing w:line="240" w:lineRule="auto"/>
      </w:pPr>
      <w:r>
        <w:separator/>
      </w:r>
    </w:p>
  </w:footnote>
  <w:footnote w:type="continuationSeparator" w:id="0">
    <w:p w:rsidR="00910902" w:rsidRDefault="00910902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2C1D34"/>
    <w:multiLevelType w:val="multilevel"/>
    <w:tmpl w:val="296203B6"/>
    <w:numStyleLink w:val="1"/>
  </w:abstractNum>
  <w:abstractNum w:abstractNumId="30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3"/>
  </w:num>
  <w:num w:numId="5">
    <w:abstractNumId w:val="33"/>
  </w:num>
  <w:num w:numId="6">
    <w:abstractNumId w:val="26"/>
  </w:num>
  <w:num w:numId="7">
    <w:abstractNumId w:val="10"/>
  </w:num>
  <w:num w:numId="8">
    <w:abstractNumId w:val="15"/>
  </w:num>
  <w:num w:numId="9">
    <w:abstractNumId w:val="0"/>
  </w:num>
  <w:num w:numId="10">
    <w:abstractNumId w:val="24"/>
  </w:num>
  <w:num w:numId="11">
    <w:abstractNumId w:val="34"/>
  </w:num>
  <w:num w:numId="12">
    <w:abstractNumId w:val="32"/>
  </w:num>
  <w:num w:numId="13">
    <w:abstractNumId w:val="21"/>
  </w:num>
  <w:num w:numId="14">
    <w:abstractNumId w:val="19"/>
  </w:num>
  <w:num w:numId="15">
    <w:abstractNumId w:val="2"/>
  </w:num>
  <w:num w:numId="16">
    <w:abstractNumId w:val="36"/>
  </w:num>
  <w:num w:numId="17">
    <w:abstractNumId w:val="30"/>
  </w:num>
  <w:num w:numId="18">
    <w:abstractNumId w:val="31"/>
  </w:num>
  <w:num w:numId="19">
    <w:abstractNumId w:val="13"/>
  </w:num>
  <w:num w:numId="20">
    <w:abstractNumId w:val="28"/>
  </w:num>
  <w:num w:numId="21">
    <w:abstractNumId w:val="7"/>
  </w:num>
  <w:num w:numId="22">
    <w:abstractNumId w:val="12"/>
  </w:num>
  <w:num w:numId="23">
    <w:abstractNumId w:val="25"/>
  </w:num>
  <w:num w:numId="24">
    <w:abstractNumId w:val="4"/>
  </w:num>
  <w:num w:numId="25">
    <w:abstractNumId w:val="29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5"/>
  </w:num>
  <w:num w:numId="34">
    <w:abstractNumId w:val="17"/>
  </w:num>
  <w:num w:numId="35">
    <w:abstractNumId w:val="16"/>
  </w:num>
  <w:num w:numId="36">
    <w:abstractNumId w:val="26"/>
  </w:num>
  <w:num w:numId="37">
    <w:abstractNumId w:val="20"/>
  </w:num>
  <w:num w:numId="38">
    <w:abstractNumId w:val="26"/>
  </w:num>
  <w:num w:numId="39">
    <w:abstractNumId w:val="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5"/>
    <w:rsid w:val="000129C4"/>
    <w:rsid w:val="00016177"/>
    <w:rsid w:val="00026885"/>
    <w:rsid w:val="000318AC"/>
    <w:rsid w:val="00032692"/>
    <w:rsid w:val="000375DA"/>
    <w:rsid w:val="000473B4"/>
    <w:rsid w:val="00067512"/>
    <w:rsid w:val="000730D4"/>
    <w:rsid w:val="00083B2D"/>
    <w:rsid w:val="000B13D7"/>
    <w:rsid w:val="000B5B68"/>
    <w:rsid w:val="000D241A"/>
    <w:rsid w:val="000D4092"/>
    <w:rsid w:val="000E6505"/>
    <w:rsid w:val="000F1E8A"/>
    <w:rsid w:val="000F6111"/>
    <w:rsid w:val="001129AE"/>
    <w:rsid w:val="0011579C"/>
    <w:rsid w:val="001204BC"/>
    <w:rsid w:val="00123F0B"/>
    <w:rsid w:val="001266A4"/>
    <w:rsid w:val="001464F1"/>
    <w:rsid w:val="0015487F"/>
    <w:rsid w:val="0015542D"/>
    <w:rsid w:val="0016591A"/>
    <w:rsid w:val="001A22BC"/>
    <w:rsid w:val="001A5162"/>
    <w:rsid w:val="001A7565"/>
    <w:rsid w:val="001C0870"/>
    <w:rsid w:val="001D40BE"/>
    <w:rsid w:val="001E46E9"/>
    <w:rsid w:val="001E73B3"/>
    <w:rsid w:val="00212CEA"/>
    <w:rsid w:val="0023396F"/>
    <w:rsid w:val="00235292"/>
    <w:rsid w:val="002432C7"/>
    <w:rsid w:val="0024536A"/>
    <w:rsid w:val="00265D89"/>
    <w:rsid w:val="00275065"/>
    <w:rsid w:val="0027560A"/>
    <w:rsid w:val="00285669"/>
    <w:rsid w:val="00295160"/>
    <w:rsid w:val="002A250E"/>
    <w:rsid w:val="002A42B8"/>
    <w:rsid w:val="002A55EF"/>
    <w:rsid w:val="002D6A5E"/>
    <w:rsid w:val="002F63FF"/>
    <w:rsid w:val="00310F7A"/>
    <w:rsid w:val="003350AD"/>
    <w:rsid w:val="00341104"/>
    <w:rsid w:val="00342828"/>
    <w:rsid w:val="003432E2"/>
    <w:rsid w:val="00350B9B"/>
    <w:rsid w:val="00371578"/>
    <w:rsid w:val="003718F0"/>
    <w:rsid w:val="00377B42"/>
    <w:rsid w:val="00394048"/>
    <w:rsid w:val="003A001B"/>
    <w:rsid w:val="003A1C64"/>
    <w:rsid w:val="003A2C0D"/>
    <w:rsid w:val="003B1677"/>
    <w:rsid w:val="003B622E"/>
    <w:rsid w:val="003C0935"/>
    <w:rsid w:val="003E1227"/>
    <w:rsid w:val="003F0D8A"/>
    <w:rsid w:val="004069AB"/>
    <w:rsid w:val="00411116"/>
    <w:rsid w:val="00430999"/>
    <w:rsid w:val="00432961"/>
    <w:rsid w:val="004333A1"/>
    <w:rsid w:val="00472C89"/>
    <w:rsid w:val="0047565D"/>
    <w:rsid w:val="00480E38"/>
    <w:rsid w:val="00482424"/>
    <w:rsid w:val="004842F6"/>
    <w:rsid w:val="0049481C"/>
    <w:rsid w:val="004B65DB"/>
    <w:rsid w:val="004D61B8"/>
    <w:rsid w:val="004F35A0"/>
    <w:rsid w:val="004F7A44"/>
    <w:rsid w:val="00501281"/>
    <w:rsid w:val="005027BD"/>
    <w:rsid w:val="0051153C"/>
    <w:rsid w:val="005145D6"/>
    <w:rsid w:val="00527AA1"/>
    <w:rsid w:val="005312B5"/>
    <w:rsid w:val="00535C44"/>
    <w:rsid w:val="00542111"/>
    <w:rsid w:val="00552A15"/>
    <w:rsid w:val="0055530F"/>
    <w:rsid w:val="00562B52"/>
    <w:rsid w:val="005743EA"/>
    <w:rsid w:val="0058593B"/>
    <w:rsid w:val="005A1CC0"/>
    <w:rsid w:val="005A66CD"/>
    <w:rsid w:val="005B2B22"/>
    <w:rsid w:val="005F2D1A"/>
    <w:rsid w:val="005F7E6E"/>
    <w:rsid w:val="006055BA"/>
    <w:rsid w:val="0060751E"/>
    <w:rsid w:val="00612579"/>
    <w:rsid w:val="00617A5B"/>
    <w:rsid w:val="00623E4A"/>
    <w:rsid w:val="00624507"/>
    <w:rsid w:val="00634BFE"/>
    <w:rsid w:val="00635C04"/>
    <w:rsid w:val="00641C2A"/>
    <w:rsid w:val="00677DBA"/>
    <w:rsid w:val="00683684"/>
    <w:rsid w:val="006906C0"/>
    <w:rsid w:val="00692183"/>
    <w:rsid w:val="00697B60"/>
    <w:rsid w:val="006B019D"/>
    <w:rsid w:val="006B22EE"/>
    <w:rsid w:val="006C19E4"/>
    <w:rsid w:val="006C6451"/>
    <w:rsid w:val="006D2474"/>
    <w:rsid w:val="006F2ABE"/>
    <w:rsid w:val="006F56D5"/>
    <w:rsid w:val="00702A13"/>
    <w:rsid w:val="007251A5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C6AC3"/>
    <w:rsid w:val="007D51C9"/>
    <w:rsid w:val="007F0AFF"/>
    <w:rsid w:val="007F4A15"/>
    <w:rsid w:val="00805871"/>
    <w:rsid w:val="00853DA6"/>
    <w:rsid w:val="00853EC7"/>
    <w:rsid w:val="00855666"/>
    <w:rsid w:val="00856932"/>
    <w:rsid w:val="0086643F"/>
    <w:rsid w:val="00875FDA"/>
    <w:rsid w:val="008806C0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10902"/>
    <w:rsid w:val="00923678"/>
    <w:rsid w:val="00930A41"/>
    <w:rsid w:val="0093132C"/>
    <w:rsid w:val="00971EE1"/>
    <w:rsid w:val="0097287F"/>
    <w:rsid w:val="0097395D"/>
    <w:rsid w:val="0098226C"/>
    <w:rsid w:val="0099480D"/>
    <w:rsid w:val="00994D7D"/>
    <w:rsid w:val="009A3492"/>
    <w:rsid w:val="009B3D64"/>
    <w:rsid w:val="009B3F34"/>
    <w:rsid w:val="009B583D"/>
    <w:rsid w:val="009D3510"/>
    <w:rsid w:val="009F2582"/>
    <w:rsid w:val="009F626C"/>
    <w:rsid w:val="00A031D7"/>
    <w:rsid w:val="00A06CF2"/>
    <w:rsid w:val="00A20983"/>
    <w:rsid w:val="00A278F8"/>
    <w:rsid w:val="00A343A6"/>
    <w:rsid w:val="00A46494"/>
    <w:rsid w:val="00A80F25"/>
    <w:rsid w:val="00A82B03"/>
    <w:rsid w:val="00A921AD"/>
    <w:rsid w:val="00AA6A1E"/>
    <w:rsid w:val="00AB2CA3"/>
    <w:rsid w:val="00AB3355"/>
    <w:rsid w:val="00AB7D65"/>
    <w:rsid w:val="00AC0441"/>
    <w:rsid w:val="00AD1503"/>
    <w:rsid w:val="00AD2938"/>
    <w:rsid w:val="00AD48C9"/>
    <w:rsid w:val="00AE07AE"/>
    <w:rsid w:val="00AE1E22"/>
    <w:rsid w:val="00AE774A"/>
    <w:rsid w:val="00AF09A6"/>
    <w:rsid w:val="00AF31F8"/>
    <w:rsid w:val="00AF675E"/>
    <w:rsid w:val="00AF7A62"/>
    <w:rsid w:val="00B018A4"/>
    <w:rsid w:val="00B13DA5"/>
    <w:rsid w:val="00B1677B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43A3"/>
    <w:rsid w:val="00BA56DE"/>
    <w:rsid w:val="00BC2CA0"/>
    <w:rsid w:val="00BC301B"/>
    <w:rsid w:val="00C06C83"/>
    <w:rsid w:val="00C1565A"/>
    <w:rsid w:val="00C1697E"/>
    <w:rsid w:val="00C36D36"/>
    <w:rsid w:val="00C6514A"/>
    <w:rsid w:val="00C80F43"/>
    <w:rsid w:val="00C81A09"/>
    <w:rsid w:val="00C8585C"/>
    <w:rsid w:val="00C97FCA"/>
    <w:rsid w:val="00CA0155"/>
    <w:rsid w:val="00CA619F"/>
    <w:rsid w:val="00CB38F3"/>
    <w:rsid w:val="00CB598D"/>
    <w:rsid w:val="00CD1DE0"/>
    <w:rsid w:val="00CD6433"/>
    <w:rsid w:val="00CE1F30"/>
    <w:rsid w:val="00CF0C59"/>
    <w:rsid w:val="00CF0C5E"/>
    <w:rsid w:val="00D03BFC"/>
    <w:rsid w:val="00D12D00"/>
    <w:rsid w:val="00D143F1"/>
    <w:rsid w:val="00D3347D"/>
    <w:rsid w:val="00D35054"/>
    <w:rsid w:val="00D355F7"/>
    <w:rsid w:val="00D37E46"/>
    <w:rsid w:val="00D409BE"/>
    <w:rsid w:val="00D438AB"/>
    <w:rsid w:val="00D54ECE"/>
    <w:rsid w:val="00D56FAF"/>
    <w:rsid w:val="00D605F4"/>
    <w:rsid w:val="00D607D4"/>
    <w:rsid w:val="00D82B24"/>
    <w:rsid w:val="00D82D04"/>
    <w:rsid w:val="00D94A84"/>
    <w:rsid w:val="00DA077D"/>
    <w:rsid w:val="00DA3A8A"/>
    <w:rsid w:val="00DA4810"/>
    <w:rsid w:val="00DA6E34"/>
    <w:rsid w:val="00DC26C1"/>
    <w:rsid w:val="00DE13EF"/>
    <w:rsid w:val="00DE5F0F"/>
    <w:rsid w:val="00DF4DB9"/>
    <w:rsid w:val="00E0589E"/>
    <w:rsid w:val="00E06303"/>
    <w:rsid w:val="00E12E7B"/>
    <w:rsid w:val="00E15B97"/>
    <w:rsid w:val="00E24FC3"/>
    <w:rsid w:val="00E312E2"/>
    <w:rsid w:val="00E3400A"/>
    <w:rsid w:val="00E344A3"/>
    <w:rsid w:val="00E5533A"/>
    <w:rsid w:val="00E76DA1"/>
    <w:rsid w:val="00E76EB1"/>
    <w:rsid w:val="00E77C4F"/>
    <w:rsid w:val="00E865D9"/>
    <w:rsid w:val="00EA465F"/>
    <w:rsid w:val="00EB18A8"/>
    <w:rsid w:val="00EB7193"/>
    <w:rsid w:val="00EC3804"/>
    <w:rsid w:val="00EC453C"/>
    <w:rsid w:val="00ED4C14"/>
    <w:rsid w:val="00EF39D2"/>
    <w:rsid w:val="00EF7D4C"/>
    <w:rsid w:val="00F11D10"/>
    <w:rsid w:val="00F137A8"/>
    <w:rsid w:val="00F141F4"/>
    <w:rsid w:val="00F16A3E"/>
    <w:rsid w:val="00F17BCE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706A"/>
    <w:rsid w:val="00FC4C0D"/>
    <w:rsid w:val="00FE1E07"/>
    <w:rsid w:val="00FE28AA"/>
    <w:rsid w:val="00FF46CB"/>
    <w:rsid w:val="00FF4C14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FB658-2EAE-40E1-80DD-9B691DAA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7F8C-E67F-4C72-BD02-D1AA1C14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2</cp:revision>
  <dcterms:created xsi:type="dcterms:W3CDTF">2024-09-12T10:52:00Z</dcterms:created>
  <dcterms:modified xsi:type="dcterms:W3CDTF">2024-09-12T10:52:00Z</dcterms:modified>
</cp:coreProperties>
</file>